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24"/>
        <w:rPr>
          <w:rFonts w:hint="default"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附件 1</w:t>
      </w:r>
    </w:p>
    <w:p>
      <w:pPr>
        <w:pStyle w:val="6"/>
        <w:keepNext w:val="0"/>
        <w:keepLines w:val="0"/>
        <w:widowControl/>
        <w:suppressLineNumbers w:val="0"/>
        <w:spacing w:before="0" w:beforeAutospacing="0" w:after="0" w:afterAutospacing="0"/>
        <w:ind w:right="0"/>
        <w:jc w:val="center"/>
        <w:rPr>
          <w:rFonts w:hint="eastAsia" w:ascii="宋体" w:hAnsi="宋体" w:eastAsia="宋体" w:cs="宋体"/>
          <w:b/>
          <w:bCs/>
          <w:kern w:val="2"/>
          <w:sz w:val="40"/>
          <w:szCs w:val="40"/>
          <w:lang w:val="en-US" w:eastAsia="zh-CN" w:bidi="ar-SA"/>
        </w:rPr>
      </w:pPr>
      <w:r>
        <w:rPr>
          <w:rFonts w:hint="eastAsia" w:ascii="宋体" w:hAnsi="宋体" w:eastAsia="宋体" w:cs="宋体"/>
          <w:b/>
          <w:bCs/>
          <w:sz w:val="36"/>
          <w:szCs w:val="36"/>
          <w:lang w:val="en-US" w:eastAsia="zh-CN"/>
        </w:rPr>
        <w:t>202</w:t>
      </w:r>
      <w:r>
        <w:rPr>
          <w:rFonts w:hint="eastAsia" w:cs="宋体"/>
          <w:b/>
          <w:bCs/>
          <w:sz w:val="36"/>
          <w:szCs w:val="36"/>
          <w:lang w:val="en-US" w:eastAsia="zh-CN"/>
        </w:rPr>
        <w:t>2</w:t>
      </w:r>
      <w:r>
        <w:rPr>
          <w:rFonts w:hint="eastAsia" w:ascii="宋体" w:hAnsi="宋体" w:eastAsia="宋体" w:cs="宋体"/>
          <w:b/>
          <w:bCs/>
          <w:sz w:val="36"/>
          <w:szCs w:val="36"/>
          <w:lang w:val="en-US" w:eastAsia="zh-CN"/>
        </w:rPr>
        <w:t>年华南农业大学“丁颖杯”暨“挑战杯”</w:t>
      </w:r>
      <w:r>
        <w:rPr>
          <w:rFonts w:hint="eastAsia" w:cs="宋体"/>
          <w:b/>
          <w:bCs/>
          <w:sz w:val="36"/>
          <w:szCs w:val="36"/>
          <w:lang w:val="en-US" w:eastAsia="zh-CN"/>
        </w:rPr>
        <w:t>广东课外学术科技作品竞赛</w:t>
      </w:r>
      <w:r>
        <w:rPr>
          <w:rFonts w:hint="eastAsia" w:ascii="宋体" w:hAnsi="宋体" w:eastAsia="宋体" w:cs="宋体"/>
          <w:b/>
          <w:bCs/>
          <w:sz w:val="36"/>
          <w:szCs w:val="36"/>
          <w:lang w:val="en-US" w:eastAsia="zh-CN"/>
        </w:rPr>
        <w:t>校内选拔赛</w:t>
      </w:r>
    </w:p>
    <w:p>
      <w:pPr>
        <w:pStyle w:val="6"/>
        <w:keepNext w:val="0"/>
        <w:keepLines w:val="0"/>
        <w:widowControl/>
        <w:suppressLineNumbers w:val="0"/>
        <w:spacing w:before="0" w:beforeAutospacing="0" w:after="315" w:afterLines="100" w:afterAutospacing="0"/>
        <w:ind w:right="0"/>
        <w:jc w:val="center"/>
        <w:rPr>
          <w:rFonts w:hint="eastAsia" w:ascii="仿宋" w:hAnsi="仿宋" w:eastAsia="仿宋" w:cs="仿宋"/>
          <w:b/>
          <w:bCs/>
          <w:sz w:val="52"/>
          <w:szCs w:val="52"/>
          <w:lang w:val="en-US" w:eastAsia="zh-CN"/>
        </w:rPr>
      </w:pPr>
      <w:r>
        <w:rPr>
          <w:rFonts w:hint="eastAsia" w:ascii="宋体" w:hAnsi="宋体" w:eastAsia="宋体" w:cs="宋体"/>
          <w:b/>
          <w:bCs/>
          <w:kern w:val="2"/>
          <w:sz w:val="40"/>
          <w:szCs w:val="40"/>
          <w:lang w:val="en-US" w:eastAsia="zh-CN" w:bidi="ar-SA"/>
        </w:rPr>
        <w:t>终审决赛入围作品名单</w:t>
      </w:r>
    </w:p>
    <w:tbl>
      <w:tblPr>
        <w:tblStyle w:val="7"/>
        <w:tblW w:w="4999" w:type="pct"/>
        <w:jc w:val="center"/>
        <w:shd w:val="clear" w:color="auto" w:fill="auto"/>
        <w:tblLayout w:type="autofit"/>
        <w:tblCellMar>
          <w:top w:w="0" w:type="dxa"/>
          <w:left w:w="0" w:type="dxa"/>
          <w:bottom w:w="0" w:type="dxa"/>
          <w:right w:w="0" w:type="dxa"/>
        </w:tblCellMar>
      </w:tblPr>
      <w:tblGrid>
        <w:gridCol w:w="1018"/>
        <w:gridCol w:w="2690"/>
        <w:gridCol w:w="8535"/>
        <w:gridCol w:w="1732"/>
      </w:tblGrid>
      <w:tr>
        <w:tblPrEx>
          <w:shd w:val="clear" w:color="auto" w:fill="auto"/>
          <w:tblCellMar>
            <w:top w:w="0" w:type="dxa"/>
            <w:left w:w="0" w:type="dxa"/>
            <w:bottom w:w="0" w:type="dxa"/>
            <w:right w:w="0" w:type="dxa"/>
          </w:tblCellMar>
        </w:tblPrEx>
        <w:trPr>
          <w:trHeight w:val="549"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jc w:val="center"/>
              <w:textAlignment w:val="top"/>
              <w:rPr>
                <w:rFonts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序号</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top"/>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大类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top"/>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项目名称</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center"/>
              <w:textAlignment w:val="top"/>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申报人</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bookmarkStart w:id="0" w:name="_GoBack" w:colFirst="0" w:colLast="3"/>
            <w:r>
              <w:rPr>
                <w:rFonts w:hint="eastAsia" w:ascii="宋体" w:hAnsi="宋体" w:eastAsia="宋体" w:cs="宋体"/>
                <w:b/>
                <w:bCs/>
                <w:i w:val="0"/>
                <w:color w:val="000000"/>
                <w:kern w:val="0"/>
                <w:sz w:val="22"/>
                <w:szCs w:val="22"/>
                <w:u w:val="none"/>
                <w:lang w:val="en-US" w:eastAsia="zh-CN" w:bidi="ar"/>
              </w:rPr>
              <w:t>1</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基于机械手的可变径式香蕉落梳末端执行器</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欧俊辰</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辅助托种气吸式蔬菜精量排种器及排种检测系统</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王锴</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山地果园电动单轨运输系统</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陈佳裕</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一种立柱混凝土高压水射流凿毛机器人</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邓凯萱</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智能果树修剪机</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黄朝炜</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丘陵山地智能调平轻型通用履带式底盘设计</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黄靖凯</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鱼苗精量投饲器</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梁嘉裕</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基于数字孪生的植物工厂环控系统</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陈俊聪</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基于无人机和智能小车的多视角协同下果园产量估计</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王潇</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空地一体的山地果园数字孪生系统及应用</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余振邦</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空地一体化荔枝果园智慧监测平台</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陈绍楠</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基于计算机视觉的校园电动车智能管控系统</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李春红</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13</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基于Transformer声谱图特征学习的母牛发情检测方法及装置</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林海</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14</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基于人工智能识别的肇事鸟类自动防控装置</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何源</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15</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新颖环保型海洋防污剂的研制与应用</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陈子慧</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16</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不同来源SNP基因型一致性评估软件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曾浩南</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17</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评估畜禽个体血统含量及可视化软件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钟展明</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18</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零换水硝化型生物絮团养殖模式应用与示范</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杨灿民</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19</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可大肠杆菌表达的狂犬病病毒重组荧光抗体</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郑艳虹</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20</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基于低温连续相变萃取技术的南极磷虾油胶囊</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洪子晨</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21</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基于植物天然产物筛选紫外增效剂</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何慧灵</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22</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新型快速丝状真菌核酸检测试剂盒</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邝嘉骏</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23</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柑橘重大害虫声波靶向控制设备的研发与应用</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袁祥智</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24</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航天宝——航天诱变类芽孢杆菌赋能农业绿色发展</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杨琳钧</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25</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壳聚糖-海藻酸钠水面漂浮微球的制备与浮萍防治研究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刘依诺</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26</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基于茶叶中EGCG等功能性物质保留的高效电子雾化茶研制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叶童</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27</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EasySeed</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湛浩然</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28</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枯木逢春——轻质高强低碳再生共挤建材领航者</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陈磊</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29</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酯风沐雨——高效生物农药纳米开创者</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朱浩锋</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30</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石墨烯柔性压力传感器的制备与性能研究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张方任</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31</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科技发明制作类</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木质素选择性转化及燃料前体物的制备研究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李新龙</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面向多意图口语理解的组块级意图识别框架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黄浩靖</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33</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慧眼识猪——基于多源信息融合的母猪智能检测平台</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卢梓瑜</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34</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基于机器学习的水稻秧苗叶龄期检测研究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刘警斌</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35</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基于多源信息融合自主移动式猪只健康检测系统</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杨景欣</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36</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CircTAF8 对鸡成肌细胞发育及相关屠宰性状的调控</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黄炜辰</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37</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基于TWAS关联分析的金钗石斛石斛碱含量相关分子标记</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马源浩</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38</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用不同有机物料替代无机氮肥可提高中国粮食产量：meta分析</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范晓如</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39</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阴香粉实病果内生真菌分离及候选菌株最佳培养条件筛选</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仇思润</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40</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南方甜玉米农田土壤碳库和碳库管理指数对氮替代处理的响应</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陈泽楷</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41</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Genome characterization of a uropathogenic Pseudomonas aeruginosa isolate PA_HN002 with cyclic di-GMP-dependent hyper-biofilm production</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林思颖</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42</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沃柑感染黄龙病菌产生“红鼻子果”的机制研究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张靖雪</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43</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纳米氧化锌缓解大豆酸铝胁迫生理机制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曾梓健</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44</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氮源替代对华南甜玉米农田碳氮足迹协同减排特征及过程机制的影响研究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裴毅</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45</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食安之盾：基于纳米酶构建的双通道“口袋传感器”</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周耀威</w:t>
            </w:r>
          </w:p>
        </w:tc>
      </w:tr>
      <w:tr>
        <w:tblPrEx>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46</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面向微藻脂肪成像应用的亲脂性碳点荧光探针的制备及性能研究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黄斯锐</w:t>
            </w:r>
          </w:p>
        </w:tc>
      </w:tr>
      <w:tr>
        <w:tblPrEx>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47</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自然科学类学术论文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锚定在 MXene 和内部电场调制的 ZnIn2S4-NiSe2 S 型异质结光催化剂用于高效光催化析氢</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陈炜琳</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48</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互联网使用对保护区周边农户自然资源依赖度的影响</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朱睿頔</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49</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地方依恋对保护区农户生态保护行为的影响</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——基于四川省、陕西省调研数据</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何子晴</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50</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现代农业产业园建设对农户共同富裕的影响研究</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——基于广东省的实地调查</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张晓欣</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51</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华南农业大学与温氏集团的产学研高质量发展研究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徐健聪</w:t>
            </w:r>
          </w:p>
        </w:tc>
      </w:tr>
      <w:bookmarkEnd w:id="0"/>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52</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农业机械化对适度规模经营的影响机理研究</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——基于农户分化视角</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曾牵芸</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53</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电子商务连接农村与走向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共同富裕：基于电子商务进村示范政策的分析</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张欢</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54</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人际关系视角下“零租金”流转的形成及治理研究</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——基于广东省579个种粮农户的调查分析</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黎炯林</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55</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中国农业高质量发展水平的时空格局和影响因素研究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陈婉静</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56</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数字普惠金融何以提升中老年农户金融素养？</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——基于信息获取与干中学的双重视角</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雷恺桐</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57</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农户政策性农业保险认知偏差的诱因与影响</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——来自广东稻农转出农地的证据</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王梓淇</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58</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触景生情，念念不忘：如何利用乡村文化景观留住乡愁记忆？</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——基于广东鹤山古劳水乡调查的思考</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王梦灵</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59</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个中“痛苦”谁人诉说：城乡差异视角下农村青少年网络成瘾现状及类型化研究——基于3180份样本的实证分析</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张艺溶</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60</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零工就业现状及其从业者就业质量的影响因素分析</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——以广州市为例</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赵雪娇</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61</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接种犬用狂犬病疫苗的公共服务偏好</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——基于广东省的离散选择实验</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邓志乐</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62</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文化自信视域下非遗传承人与受众群体认知错位及交互关系的研究</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——以广州木偶戏为例</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黎婉莹</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63</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国内博物馆数字展览现状研究</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——基于国家一级博物馆网站调查数据</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陈瑾欣</w:t>
            </w:r>
          </w:p>
        </w:tc>
      </w:tr>
      <w:tr>
        <w:tblPrEx>
          <w:shd w:val="clear" w:color="auto" w:fill="auto"/>
          <w:tblCellMar>
            <w:top w:w="0" w:type="dxa"/>
            <w:left w:w="0" w:type="dxa"/>
            <w:bottom w:w="0" w:type="dxa"/>
            <w:right w:w="0" w:type="dxa"/>
          </w:tblCellMar>
        </w:tblPrEx>
        <w:trPr>
          <w:trHeight w:val="744"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64</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文化治理视角下的岭南古村落美育场域营建与再生</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——基于佛山松塘村的调查研究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肖敏</w:t>
            </w:r>
          </w:p>
        </w:tc>
      </w:tr>
      <w:tr>
        <w:tblPrEx>
          <w:shd w:val="clear" w:color="auto" w:fill="auto"/>
          <w:tblCellMar>
            <w:top w:w="0" w:type="dxa"/>
            <w:left w:w="0" w:type="dxa"/>
            <w:bottom w:w="0" w:type="dxa"/>
            <w:right w:w="0" w:type="dxa"/>
          </w:tblCellMar>
        </w:tblPrEx>
        <w:trPr>
          <w:trHeight w:val="744"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65</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文化空间理论视域下国家级非遗“波罗诞”的保护与活化研究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陈心荷</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66</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压花活动改善亲子关系的研究与思考——以广东省为例</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田琴</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67</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红色旅游·思想引领：广州红色旅游资源现状评估及对大学生理想信念的影响</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——基于广州11区调研的实证研究</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谢嘉淇</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68</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同频共振，漆彩西江：非遗文化与乡村振兴融合路径探究</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——以佛山白坭文创古镇为例</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陈晓宁</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69</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农村土地纠纷多元解决机制的制度困境及出路</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——以云浮市新兴县为例</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龙慧琦</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70</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生态旅游参与对共同富裕的影响研究——基于广东省的调查</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张梓恩</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71</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行政区划调整对耕地征收的影响—基于撤县设区的准自然实验</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程丹</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72</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《妨害安全驾驶罪的现状考察、争议厘清与适用探讨</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——基于139份裁判文书的实证分析》</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杨晓杰</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73</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粤红粤活：协同推进乡村振兴与红色资源活化的模式研究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——基于清远市王田村的实践反思</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徐钜伟</w:t>
            </w:r>
          </w:p>
        </w:tc>
      </w:tr>
      <w:tr>
        <w:tblPrEx>
          <w:shd w:val="clear" w:color="auto" w:fill="auto"/>
          <w:tblCellMar>
            <w:top w:w="0" w:type="dxa"/>
            <w:left w:w="0" w:type="dxa"/>
            <w:bottom w:w="0" w:type="dxa"/>
            <w:right w:w="0" w:type="dxa"/>
          </w:tblCellMar>
        </w:tblPrEx>
        <w:trPr>
          <w:trHeight w:val="283"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74</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你害怕“丢脸”吗？——人脸识别应用的现状与对策建议</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邓禹萱</w:t>
            </w:r>
          </w:p>
        </w:tc>
      </w:tr>
      <w:tr>
        <w:tblPrEx>
          <w:shd w:val="clear" w:color="auto" w:fill="auto"/>
          <w:tblCellMar>
            <w:top w:w="0" w:type="dxa"/>
            <w:left w:w="0" w:type="dxa"/>
            <w:bottom w:w="0" w:type="dxa"/>
            <w:right w:w="0" w:type="dxa"/>
          </w:tblCellMar>
        </w:tblPrEx>
        <w:trPr>
          <w:trHeight w:val="699"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75</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“赋能”抑或是“缚能”？数字驱动公共服务高质量发展研究</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——以广东省D市M镇为例</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李佳声</w:t>
            </w:r>
          </w:p>
        </w:tc>
      </w:tr>
      <w:tr>
        <w:tblPrEx>
          <w:shd w:val="clear" w:color="auto" w:fill="auto"/>
          <w:tblCellMar>
            <w:top w:w="0" w:type="dxa"/>
            <w:left w:w="0" w:type="dxa"/>
            <w:bottom w:w="0" w:type="dxa"/>
            <w:right w:w="0" w:type="dxa"/>
          </w:tblCellMar>
        </w:tblPrEx>
        <w:trPr>
          <w:trHeight w:val="744"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76</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rPr>
              <w:t>哲学社会科学类社会调查报告和学术论文</w:t>
            </w:r>
          </w:p>
        </w:tc>
        <w:tc>
          <w:tcPr>
            <w:tcW w:w="30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全过程均衡视角下探析社区防范与应对突发事件的“短板”与“盲区”</w:t>
            </w:r>
          </w:p>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——基于广东4类典型社区的实证分析</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李钿</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OWUzZDA4ZGMxOWYyY2JiZWIyODc3NTkxMGJjNjgifQ=="/>
  </w:docVars>
  <w:rsids>
    <w:rsidRoot w:val="00000000"/>
    <w:rsid w:val="03A0674B"/>
    <w:rsid w:val="1B6703B7"/>
    <w:rsid w:val="2DEC5146"/>
    <w:rsid w:val="3D683EFC"/>
    <w:rsid w:val="46CF5202"/>
    <w:rsid w:val="4AD049A0"/>
    <w:rsid w:val="61F72E4F"/>
    <w:rsid w:val="6A214A5B"/>
    <w:rsid w:val="7ABE1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link w:val="9"/>
    <w:qFormat/>
    <w:uiPriority w:val="0"/>
    <w:pPr>
      <w:keepNext/>
      <w:keepLines/>
      <w:spacing w:line="360" w:lineRule="auto"/>
      <w:outlineLvl w:val="0"/>
    </w:pPr>
    <w:rPr>
      <w:rFonts w:ascii="Times New Roman" w:hAnsi="Times New Roman" w:eastAsia="黑体" w:cs="Times New Roman"/>
      <w:bCs/>
      <w:kern w:val="44"/>
      <w:sz w:val="28"/>
      <w:szCs w:val="44"/>
    </w:rPr>
  </w:style>
  <w:style w:type="paragraph" w:styleId="3">
    <w:name w:val="heading 2"/>
    <w:basedOn w:val="1"/>
    <w:next w:val="1"/>
    <w:link w:val="10"/>
    <w:semiHidden/>
    <w:unhideWhenUsed/>
    <w:qFormat/>
    <w:uiPriority w:val="0"/>
    <w:pPr>
      <w:keepNext/>
      <w:keepLines/>
      <w:spacing w:line="360" w:lineRule="auto"/>
      <w:outlineLvl w:val="1"/>
    </w:pPr>
    <w:rPr>
      <w:rFonts w:eastAsia="黑体" w:asciiTheme="majorAscii" w:hAnsiTheme="majorAscii" w:cstheme="majorBidi"/>
      <w:bCs/>
      <w:sz w:val="24"/>
      <w:szCs w:val="32"/>
    </w:rPr>
  </w:style>
  <w:style w:type="paragraph" w:styleId="4">
    <w:name w:val="heading 3"/>
    <w:basedOn w:val="1"/>
    <w:next w:val="1"/>
    <w:link w:val="11"/>
    <w:semiHidden/>
    <w:unhideWhenUsed/>
    <w:qFormat/>
    <w:uiPriority w:val="0"/>
    <w:pPr>
      <w:keepNext/>
      <w:keepLines/>
      <w:spacing w:line="360" w:lineRule="auto"/>
      <w:outlineLvl w:val="2"/>
    </w:pPr>
    <w:rPr>
      <w:rFonts w:ascii="Times New Roman" w:hAnsi="Times New Roman" w:eastAsia="楷体" w:cs="Times New Roman"/>
      <w:bCs/>
      <w:sz w:val="24"/>
      <w:szCs w:val="32"/>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1 Char"/>
    <w:basedOn w:val="8"/>
    <w:link w:val="2"/>
    <w:qFormat/>
    <w:uiPriority w:val="9"/>
    <w:rPr>
      <w:rFonts w:ascii="Times New Roman" w:hAnsi="Times New Roman" w:eastAsia="黑体" w:cs="Times New Roman"/>
      <w:bCs/>
      <w:kern w:val="44"/>
      <w:sz w:val="28"/>
      <w:szCs w:val="44"/>
    </w:rPr>
  </w:style>
  <w:style w:type="character" w:customStyle="1" w:styleId="10">
    <w:name w:val="标题 2 Char"/>
    <w:basedOn w:val="8"/>
    <w:link w:val="3"/>
    <w:qFormat/>
    <w:uiPriority w:val="9"/>
    <w:rPr>
      <w:rFonts w:eastAsia="黑体" w:asciiTheme="majorAscii" w:hAnsiTheme="majorAscii" w:cstheme="majorBidi"/>
      <w:bCs/>
      <w:sz w:val="24"/>
      <w:szCs w:val="32"/>
    </w:rPr>
  </w:style>
  <w:style w:type="character" w:customStyle="1" w:styleId="11">
    <w:name w:val="标题 3 Char"/>
    <w:basedOn w:val="8"/>
    <w:link w:val="4"/>
    <w:qFormat/>
    <w:uiPriority w:val="9"/>
    <w:rPr>
      <w:rFonts w:ascii="Times New Roman" w:hAnsi="Times New Roman" w:eastAsia="楷体" w:cs="Times New Roman"/>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3112</Words>
  <Characters>3350</Characters>
  <Lines>0</Lines>
  <Paragraphs>0</Paragraphs>
  <TotalTime>1</TotalTime>
  <ScaleCrop>false</ScaleCrop>
  <LinksUpToDate>false</LinksUpToDate>
  <CharactersWithSpaces>3370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007</dc:creator>
  <cp:lastModifiedBy>小徐同学</cp:lastModifiedBy>
  <dcterms:modified xsi:type="dcterms:W3CDTF">2022-11-15T08:09:28Z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81E8C4FFD297482D981BD0A707D69E89</vt:lpwstr>
  </property>
</Properties>
</file>